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highlight w:val="none"/>
        </w:rPr>
      </w:pPr>
      <w:bookmarkStart w:id="0" w:name="OLE_LINK2"/>
      <w:r>
        <w:rPr>
          <w:rFonts w:hint="eastAsia" w:ascii="Times New Roman" w:hAnsi="Times New Roman" w:cs="Times New Roman"/>
          <w:b/>
          <w:bCs/>
          <w:highlight w:val="none"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  <w:highlight w:val="none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highlight w:val="none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  <w:highlight w:val="none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  <w:highlight w:val="none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  <w:highlight w:val="none"/>
        </w:rPr>
        <w:t xml:space="preserve">J Cancer Metastasis Treat </w:t>
      </w:r>
      <w:r>
        <w:rPr>
          <w:rFonts w:hint="eastAsia" w:ascii="Times New Roman" w:hAnsi="Times New Roman" w:cs="Times New Roman"/>
          <w:b/>
          <w:bCs/>
          <w:sz w:val="30"/>
          <w:szCs w:val="30"/>
          <w:highlight w:val="none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  <w:highlight w:val="none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  <w:highlight w:val="none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  <w:highlight w:val="none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  <w:highlight w:val="none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  <w:highlight w:val="none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  <w:highlight w:val="none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  <w:highlight w:val="none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  <w:highlight w:val="none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t xml:space="preserve">, Department, Institution, Detailed Address, City Postcode, Country. E-mail: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"mailto:xxxx@xxxx.xxx" </w:instrText>
      </w:r>
      <w:r>
        <w:rPr>
          <w:highlight w:val="none"/>
        </w:rPr>
        <w:fldChar w:fldCharType="separate"/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t>xxxx@xxxx.xxx</w:t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fldChar w:fldCharType="end"/>
      </w:r>
      <w:r>
        <w:rPr>
          <w:rFonts w:ascii="Times New Roman" w:hAnsi="Times New Roman" w:cs="Times New Roman"/>
          <w:sz w:val="18"/>
          <w:szCs w:val="18"/>
          <w:highlight w:val="none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  <w:highlight w:val="none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  <w:highlight w:val="none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  <w:highlight w:val="none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highlight w:val="none"/>
        </w:rPr>
        <w:t>1 Jan 20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highlight w:val="none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  <w:highlight w:val="none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  <w:highlight w:val="none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  <w:highlight w:val="none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highlight w:val="none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highlight w:val="none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highlight w:val="none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 xml:space="preserve">For any questions, you may contact the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"mailto:editorialoffice@jcmtjournal.com" </w:instrText>
      </w:r>
      <w:r>
        <w:rPr>
          <w:highlight w:val="none"/>
        </w:rPr>
        <w:fldChar w:fldCharType="separate"/>
      </w:r>
      <w:r>
        <w:rPr>
          <w:rStyle w:val="11"/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highlight w:val="none"/>
          <w:lang w:bidi="en-US"/>
        </w:rPr>
        <w:t>editorial office</w:t>
      </w:r>
      <w:r>
        <w:rPr>
          <w:rStyle w:val="11"/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highlight w:val="none"/>
          <w:lang w:bidi="en-US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  <w:highlight w:val="none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  <w:highlight w:val="none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  <w:highlight w:val="none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hint="eastAsia" w:ascii="Times New Roman" w:hAnsi="Times New Roman" w:cs="Times New Roman"/>
          <w:sz w:val="20"/>
          <w:szCs w:val="20"/>
          <w:highlight w:val="none"/>
        </w:rPr>
        <w:t>In this part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  <w:highlight w:val="none"/>
        </w:rPr>
        <w:t>Correction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>/</w:t>
      </w:r>
      <w:r>
        <w:rPr>
          <w:rFonts w:hint="eastAsia" w:ascii="Times New Roman" w:hAnsi="Times New Roman" w:cs="Times New Roman"/>
          <w:b/>
          <w:bCs/>
          <w:sz w:val="20"/>
          <w:szCs w:val="20"/>
          <w:highlight w:val="none"/>
        </w:rPr>
        <w:t>Erratum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  <w:highlight w:val="none"/>
        </w:rPr>
        <w:t>etc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  <w:t>Table 1</w:t>
      </w:r>
      <w:r>
        <w:rPr>
          <w:rFonts w:ascii="Times New Roman" w:hAnsi="Times New Roman" w:cs="Times New Roman"/>
          <w:sz w:val="20"/>
          <w:szCs w:val="20"/>
          <w:highlight w:val="none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  <w:highlight w:val="none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  <w:highlight w:val="none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  <w:highlight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none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  <w:highlight w:val="none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  <w:highlight w:val="none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  <w:highlight w:val="none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  <w:highlight w:val="none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highlight w:val="none"/>
        </w:rPr>
        <w:t>This is a table caption. A summary description of this table should be written here</w:t>
      </w:r>
    </w:p>
    <w:tbl>
      <w:tblPr>
        <w:tblStyle w:val="22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1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1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highlight w:val="none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1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highlight w:val="none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1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1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1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1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highlight w:val="none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highlight w:val="none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highlight w:val="none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1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  <w:highlight w:val="none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  <w:highlight w:val="none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  <w:highlight w:val="none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  <w:highlight w:val="none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highlight w:val="none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highlight w:val="none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highlight w:val="none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highlight w:val="none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highlight w:val="none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9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3"/>
              <w:rPr>
                <w:rFonts w:ascii="Times New Roman" w:hAnsi="Times New Roman" w:eastAsia="宋体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highlight w:val="none"/>
                <w:lang w:eastAsia="zh-CN"/>
              </w:rPr>
              <w:object>
                <v:shape id="_x0000_i1025" o:spt="75" type="#_x0000_t75" style="height:24pt;width:77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5"/>
              <w:spacing w:line="260" w:lineRule="atLeast"/>
              <w:jc w:val="center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 is not allowed).</w:t>
      </w:r>
    </w:p>
    <w:tbl>
      <w:tblPr>
        <w:tblStyle w:val="9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0"/>
              <w:adjustRightInd w:val="0"/>
              <w:snapToGrid w:val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0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highlight w:val="none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0"/>
              <w:adjustRightInd w:val="0"/>
              <w:snapToGrid w:val="0"/>
              <w:rPr>
                <w:rFonts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0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highlight w:val="none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0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highlight w:val="none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highlight w:val="none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>
            <w:pPr>
              <w:pStyle w:val="20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highlight w:val="none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  <w:highlight w:val="none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  <w:highlight w:val="none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  <w:highlight w:val="none"/>
        </w:rPr>
        <w:t>Figure 1A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 xml:space="preserve"> is</w:t>
      </w:r>
      <w:r>
        <w:rPr>
          <w:rFonts w:ascii="Times New Roman" w:hAnsi="Times New Roman" w:cs="Times New Roman"/>
          <w:sz w:val="20"/>
          <w:szCs w:val="20"/>
          <w:highlight w:val="none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>;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  <w:highlight w:val="none"/>
        </w:rPr>
        <w:t>;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  <w:highlight w:val="none"/>
        </w:rPr>
        <w:t>et al</w:t>
      </w:r>
      <w:r>
        <w:rPr>
          <w:rFonts w:ascii="Times New Roman" w:hAnsi="Times New Roman" w:cs="Times New Roman"/>
          <w:sz w:val="20"/>
          <w:szCs w:val="20"/>
          <w:highlight w:val="none"/>
        </w:rPr>
        <w:t>.</w:t>
      </w:r>
      <w:r>
        <w:rPr>
          <w:rFonts w:ascii="Times New Roman" w:hAnsi="Times New Roman" w:cs="Times New Roman"/>
          <w:sz w:val="20"/>
          <w:szCs w:val="20"/>
          <w:highlight w:val="none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highlight w:val="none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highlight w:val="none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  <w:highlight w:val="none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  <w:highlight w:val="none"/>
        </w:rPr>
        <w:t>REFERENCES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Authors should cite references in sequence throughout the manuscript 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highlight w:val="none"/>
          <w:vertAlign w:val="superscript"/>
        </w:rPr>
        <w:t>[3]</w:t>
      </w:r>
      <w:r>
        <w:rPr>
          <w:rFonts w:ascii="Times New Roman" w:hAnsi="Times New Roman" w:cs="Times New Roman"/>
          <w:sz w:val="20"/>
          <w:szCs w:val="20"/>
          <w:highlight w:val="none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highlight w:val="none"/>
          <w:vertAlign w:val="superscript"/>
        </w:rPr>
        <w:t>[4,5]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highlight w:val="none"/>
          <w:vertAlign w:val="superscript"/>
        </w:rPr>
        <w:t>[6-9]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Each reference should have a corresponding DOI number/website link;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If there are six authors or less, please list all the authors; If there are more than six authors, please list the first three authors with et al.; 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The names of journals should be abbreviated according to the style used in Index Medicus (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"http://www2.bg.am.poznan.pl/czasopisma/medicus.php?lang=eng" </w:instrText>
      </w:r>
      <w:r>
        <w:rPr>
          <w:highlight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http://www2.bg.am.poznan.pl/czasopisma/medicus.php?lang=eng</w:t>
      </w:r>
      <w:r>
        <w:rPr>
          <w:rStyle w:val="14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fldChar w:fldCharType="end"/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)</w:t>
      </w:r>
      <w:r>
        <w:rPr>
          <w:rFonts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  <w:highlight w:val="none"/>
        </w:rPr>
        <w:t>.</w:t>
      </w:r>
      <w:r>
        <w:rPr>
          <w:rFonts w:hint="eastAsia"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  <w:highlight w:val="none"/>
        </w:rPr>
        <w:t xml:space="preserve"> </w:t>
      </w:r>
      <w:bookmarkStart w:id="2" w:name="OLE_LINK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The names of journals should be Italic</w:t>
      </w:r>
      <w:bookmarkEnd w:id="2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highlight w:val="none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hint="eastAsia" w:ascii="Times New Roman" w:hAnsi="Times New Roman" w:cs="Times New Roman"/>
          <w:sz w:val="20"/>
          <w:szCs w:val="20"/>
          <w:highlight w:val="none"/>
        </w:rPr>
        <w:t>Examples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 of references are shown below: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 xml:space="preserve">Standard journal articles </w:t>
      </w:r>
    </w:p>
    <w:p>
      <w:pPr>
        <w:pStyle w:val="2"/>
        <w:keepNext w:val="0"/>
        <w:keepLines w:val="0"/>
        <w:widowControl/>
        <w:spacing w:before="240" w:after="240" w:line="20" w:lineRule="atLeast"/>
        <w:rPr>
          <w:rFonts w:ascii="Times New Roman" w:hAnsi="Times New Roman" w:eastAsia="宋体" w:cs="Times New Roman"/>
          <w:i/>
          <w:iCs/>
          <w:color w:val="000000"/>
          <w:kern w:val="0"/>
          <w:sz w:val="20"/>
          <w:szCs w:val="20"/>
          <w:highlight w:val="none"/>
        </w:rPr>
      </w:pPr>
      <w:bookmarkStart w:id="3" w:name="OLE_LINK7"/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0"/>
          <w:szCs w:val="20"/>
          <w:highlight w:val="none"/>
        </w:rPr>
        <w:t>Six authors or less: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0"/>
          <w:szCs w:val="20"/>
          <w:highlight w:val="none"/>
        </w:rPr>
        <w:t xml:space="preserve"> </w:t>
      </w:r>
      <w:bookmarkStart w:id="4" w:name="baut0005"/>
    </w:p>
    <w:p>
      <w:pPr>
        <w:pStyle w:val="2"/>
        <w:keepNext w:val="0"/>
        <w:keepLines w:val="0"/>
        <w:widowControl/>
        <w:spacing w:before="240" w:after="240" w:line="20" w:lineRule="atLeast"/>
        <w:rPr>
          <w:rFonts w:ascii="Times New Roman" w:hAnsi="Times New Roman" w:eastAsia="宋体" w:cs="Times New Roman"/>
          <w:i/>
          <w:iCs/>
          <w:color w:val="000000"/>
          <w:kern w:val="0"/>
          <w:sz w:val="20"/>
          <w:szCs w:val="20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"https://www.sciencedirect.com/science/article/pii/S1368764616300024" \l "!" </w:instrText>
      </w:r>
      <w:r>
        <w:rPr>
          <w:highlight w:val="none"/>
        </w:rPr>
        <w:fldChar w:fldCharType="separate"/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Andersson</w:t>
      </w:r>
      <w:bookmarkEnd w:id="4"/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D.I.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, Hughes D., Kubicek-Sutherland, J.Z.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Mechanisms and consequences of bacterial resistance to antimicrobial peptides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.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olor w:val="000000"/>
          <w:kern w:val="0"/>
          <w:sz w:val="20"/>
          <w:szCs w:val="20"/>
          <w:highlight w:val="none"/>
        </w:rPr>
        <w:t>Drug Resist Updats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 2016; 26: 43-57.[PMID: 27180309 DOI:10.1016/j.drup.2016.04.002 ]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 xml:space="preserve">More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han six authors: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Weaver DL, Ashikaga T, Krag DN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,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highlight w:val="none"/>
        </w:rPr>
        <w:t>et al</w:t>
      </w:r>
      <w:r>
        <w:rPr>
          <w:rFonts w:ascii="Times New Roman" w:hAnsi="Times New Roman" w:eastAsia="宋体" w:cs="Times New Roman"/>
          <w:bCs/>
          <w:i w:val="0"/>
          <w:iCs w:val="0"/>
          <w:color w:val="000000"/>
          <w:kern w:val="0"/>
          <w:sz w:val="20"/>
          <w:szCs w:val="20"/>
          <w:highlight w:val="none"/>
        </w:rPr>
        <w:t>.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Effect of occult metastases on survival in node-negative breast cancer. </w:t>
      </w:r>
      <w:r>
        <w:rPr>
          <w:rFonts w:ascii="Times New Roman" w:hAnsi="Times New Roman" w:eastAsia="宋体" w:cs="Times New Roman"/>
          <w:i/>
          <w:color w:val="000000"/>
          <w:kern w:val="0"/>
          <w:sz w:val="20"/>
          <w:szCs w:val="20"/>
          <w:highlight w:val="none"/>
        </w:rPr>
        <w:t>N Engl J Med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2011;364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  <w:highlight w:val="none"/>
        </w:rPr>
        <w:t>: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412-21.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  <w:highlight w:val="none"/>
        </w:rPr>
        <w:t>[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  <w:highlight w:val="none"/>
        </w:rPr>
        <w:t>PMID: 21247310 DOI: 10.1056/NEJMoa1008108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  <w:highlight w:val="none"/>
        </w:rPr>
        <w:t>]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 xml:space="preserve"> </w:t>
      </w:r>
    </w:p>
    <w:bookmarkEnd w:id="3"/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o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Diabetes Prevention Program Research Group. Hypertension, insulin, and proinsulin in participants with impaired glucose tolerance.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0"/>
          <w:szCs w:val="20"/>
          <w:highlight w:val="none"/>
        </w:rPr>
        <w:t>Hypertension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2002;40:679-86.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PMID: 12411462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b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Vallancien G, Emberton M, Harving N, van Moorselaar RJ; Alf-One Study Group. Sexual dysfunction in 1,274 European men suffering from lower urinary tract symptoms. </w:t>
      </w:r>
      <w:r>
        <w:rPr>
          <w:rFonts w:ascii="Times New Roman" w:hAnsi="Times New Roman" w:eastAsia="宋体" w:cs="Times New Roman"/>
          <w:i/>
          <w:color w:val="000000"/>
          <w:kern w:val="0"/>
          <w:sz w:val="20"/>
          <w:szCs w:val="20"/>
          <w:highlight w:val="none"/>
        </w:rPr>
        <w:t>J Urol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2003;169:2257-61. [PMID: 12771764 DOI: 10.1097/01.ju.0000067940.76090.73]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Zhang X, Xiong H, Ji TY, Zhang YH, Wang Y. Case report of anti-N-methyl-D-aspartate receptor encephalitis in child. </w:t>
      </w:r>
      <w:r>
        <w:rPr>
          <w:rFonts w:ascii="Times New Roman" w:hAnsi="Times New Roman" w:eastAsia="宋体" w:cs="Times New Roman"/>
          <w:i/>
          <w:color w:val="000000"/>
          <w:kern w:val="0"/>
          <w:sz w:val="20"/>
          <w:szCs w:val="20"/>
          <w:highlight w:val="none"/>
        </w:rPr>
        <w:t>J Appl Clin Pediatr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2012;27:1903-7. (in Chinese)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Standard journal articles ahead of print (DOI number should be given)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Odibo AO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i/>
          <w:iCs/>
          <w:sz w:val="20"/>
          <w:szCs w:val="20"/>
          <w:highlight w:val="none"/>
        </w:rPr>
        <w:t>BJOG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2018; Epub ahead of print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PMID: 30461178 DOI: 10.1111/1471-0528.15541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Sherlock S, Dooley J. Diseases of the liver and billiary system. 9th ed. Oxford: Blackwell Sci Pub; 1993. pp. 258-96.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Meltzer PS, Kallioniemi A, Trent JM. Chromosome alterations in human solid tumors. In: Vogelstein B, Kinzler KW, editors. The genetic basis of human cancer. New York: McGraw-Hill;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FDA News Release. FDA approval brings first gene therapy to the United States. Available from: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"https://www.fda.gov/NewsEvents/Newsroom/PressAnnouncements/ucm574058.htm" </w:instrText>
      </w:r>
      <w:r>
        <w:rPr>
          <w:highlight w:val="none"/>
        </w:rPr>
        <w:fldChar w:fldCharType="separate"/>
      </w:r>
      <w:r>
        <w:rPr>
          <w:rStyle w:val="14"/>
          <w:rFonts w:ascii="Times New Roman" w:hAnsi="Times New Roman" w:eastAsia="宋体" w:cs="Times New Roman"/>
          <w:iCs/>
          <w:kern w:val="0"/>
          <w:sz w:val="20"/>
          <w:szCs w:val="20"/>
          <w:highlight w:val="none"/>
        </w:rPr>
        <w:t>https://www.fda.gov/NewsEvents/Newsroom/PressAnnouncements/ucm574058.htm</w:t>
      </w:r>
      <w:r>
        <w:rPr>
          <w:rStyle w:val="14"/>
          <w:rFonts w:ascii="Times New Roman" w:hAnsi="Times New Roman" w:eastAsia="宋体" w:cs="Times New Roman"/>
          <w:iCs/>
          <w:kern w:val="0"/>
          <w:sz w:val="20"/>
          <w:szCs w:val="20"/>
          <w:highlight w:val="none"/>
        </w:rPr>
        <w:fldChar w:fldCharType="end"/>
      </w:r>
      <w:r>
        <w:rPr>
          <w:rFonts w:ascii="Times New Roman" w:hAnsi="Times New Roman" w:eastAsia="宋体" w:cs="Times New Roman"/>
          <w:iCs/>
          <w:kern w:val="0"/>
          <w:sz w:val="20"/>
          <w:szCs w:val="20"/>
          <w:highlight w:val="none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[Last accessed on 30 Oct 2017]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Harnden P, Joffe JK, Jones WG, editors. Germ cell tumours V. Proceedings of the 5th Germ Cell Tumour Conference; 2001 Sep 13-15; Leeds, UK. New York: Springer;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. 182-91.</w:t>
      </w:r>
      <w:bookmarkStart w:id="7" w:name="_GoBack"/>
      <w:bookmarkEnd w:id="7"/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 xml:space="preserve">Unpublished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m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Tian D, Araki H, Stahl E, Bergelson J, Kreitman M. Signature of balancing selection in Arabidopsis.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0"/>
          <w:szCs w:val="20"/>
          <w:highlight w:val="none"/>
        </w:rPr>
        <w:t xml:space="preserve">Proc Natl Acad Sci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U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S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A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highlight w:val="none"/>
        </w:rPr>
        <w:t xml:space="preserve"> Forthcoming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For other types of references please refer to U.S. National Library of Medicine (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"https://www.nlm.nih.gov/bsd/uniform_requirements.html" </w:instrText>
      </w:r>
      <w:r>
        <w:rPr>
          <w:highlight w:val="none"/>
        </w:rPr>
        <w:fldChar w:fldCharType="separate"/>
      </w:r>
      <w:r>
        <w:rPr>
          <w:rStyle w:val="14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https://www.nlm.nih.gov/bsd/uniform_requirements.html)</w:t>
      </w:r>
      <w:r>
        <w:rPr>
          <w:rStyle w:val="14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fldChar w:fldCharType="end"/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  <w:highlight w:val="none"/>
        </w:rPr>
        <w:t>.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highlight w:val="none"/>
        </w:rPr>
        <w:t>The names of journals should be Italic.</w:t>
      </w: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20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fldChar w:fldCharType="begin"/>
    </w:r>
    <w:r>
      <w:instrText xml:space="preserve"> HYPERLINK "http://www.jcmtjournal.com" </w:instrText>
    </w:r>
    <w:r>
      <w:fldChar w:fldCharType="separate"/>
    </w:r>
    <w:r>
      <w:rPr>
        <w:rStyle w:val="14"/>
        <w:rFonts w:ascii="Arial" w:hAnsi="Arial"/>
        <w:b/>
        <w:bCs/>
        <w:color w:val="003F9A"/>
        <w:sz w:val="16"/>
        <w:szCs w:val="16"/>
        <w:u w:val="none"/>
      </w:rPr>
      <w:t>www.jcmtjournal.com</w:t>
    </w:r>
    <w:r>
      <w:rPr>
        <w:rStyle w:val="14"/>
        <w:rFonts w:ascii="Arial" w:hAnsi="Arial"/>
        <w:b/>
        <w:bCs/>
        <w:color w:val="003F9A"/>
        <w:sz w:val="16"/>
        <w:szCs w:val="16"/>
        <w:u w:val="none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Cancer Metastasis Treat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http://dx.doi.org/10.20517/2394-4722.xxxx.xx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Cancer Metastasis Treat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http://dx.doi.org/10.20517/2394-4722.xxxx.xx</w:t>
    </w:r>
    <w:r>
      <w:rPr>
        <w:rFonts w:hint="eastAsia" w:ascii="Times New Roman" w:hAnsi="Times New Roman" w:cs="Times New Roman"/>
        <w:sz w:val="14"/>
        <w:szCs w:val="14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5" w:name="OLE_LINK5"/>
    <w: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3495040</wp:posOffset>
          </wp:positionH>
          <wp:positionV relativeFrom="paragraph">
            <wp:posOffset>8255</wp:posOffset>
          </wp:positionV>
          <wp:extent cx="1894840" cy="326390"/>
          <wp:effectExtent l="0" t="0" r="29210" b="0"/>
          <wp:wrapTight wrapText="bothSides">
            <wp:wrapPolygon>
              <wp:start x="6298" y="2521"/>
              <wp:lineTo x="869" y="10086"/>
              <wp:lineTo x="0" y="12607"/>
              <wp:lineTo x="0" y="20171"/>
              <wp:lineTo x="21064" y="20171"/>
              <wp:lineTo x="21282" y="5043"/>
              <wp:lineTo x="20413" y="2521"/>
              <wp:lineTo x="16287" y="2521"/>
              <wp:lineTo x="6298" y="2521"/>
            </wp:wrapPolygon>
          </wp:wrapTight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/>
                  <pic:cNvPicPr>
                    <a:picLocks noChangeAspect="1"/>
                  </pic:cNvPicPr>
                </pic:nvPicPr>
                <pic:blipFill>
                  <a:blip r:embed="rId1"/>
                  <a:srcRect l="54927"/>
                  <a:stretch>
                    <a:fillRect/>
                  </a:stretch>
                </pic:blipFill>
                <pic:spPr>
                  <a:xfrm>
                    <a:off x="0" y="0"/>
                    <a:ext cx="1894840" cy="326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i/>
        <w:iCs/>
        <w:sz w:val="16"/>
        <w:szCs w:val="16"/>
      </w:rPr>
      <w:t>J Cancer Metastasis Treat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6" w:name="OLE_LINK3"/>
    <w:r>
      <w:rPr>
        <w:rFonts w:ascii="Times New Roman" w:hAnsi="Times New Roman" w:cs="Times New Roman"/>
        <w:sz w:val="16"/>
        <w:szCs w:val="16"/>
      </w:rPr>
      <w:t>10.20517/2394-4722.xxxx.xx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5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D5EBD"/>
    <w:rsid w:val="001012CC"/>
    <w:rsid w:val="00137C5C"/>
    <w:rsid w:val="00172A27"/>
    <w:rsid w:val="0019510B"/>
    <w:rsid w:val="0027022E"/>
    <w:rsid w:val="002716D1"/>
    <w:rsid w:val="00273491"/>
    <w:rsid w:val="00331E76"/>
    <w:rsid w:val="003608FF"/>
    <w:rsid w:val="003B627D"/>
    <w:rsid w:val="00423880"/>
    <w:rsid w:val="00497675"/>
    <w:rsid w:val="004F52CE"/>
    <w:rsid w:val="005570D9"/>
    <w:rsid w:val="00637595"/>
    <w:rsid w:val="0071394F"/>
    <w:rsid w:val="00764018"/>
    <w:rsid w:val="007D1FD5"/>
    <w:rsid w:val="008075EB"/>
    <w:rsid w:val="00842C21"/>
    <w:rsid w:val="008A495C"/>
    <w:rsid w:val="00921419"/>
    <w:rsid w:val="00A37A37"/>
    <w:rsid w:val="00A8133F"/>
    <w:rsid w:val="00B42AC5"/>
    <w:rsid w:val="00B74EF5"/>
    <w:rsid w:val="00BB3538"/>
    <w:rsid w:val="00BE23E3"/>
    <w:rsid w:val="00C5076C"/>
    <w:rsid w:val="00C6365E"/>
    <w:rsid w:val="00CA2500"/>
    <w:rsid w:val="00D16246"/>
    <w:rsid w:val="00DE47E8"/>
    <w:rsid w:val="00DF5C43"/>
    <w:rsid w:val="00E31605"/>
    <w:rsid w:val="00E33D2B"/>
    <w:rsid w:val="00E4440F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13A55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B73A6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834D2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66799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00B8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6515F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84157B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80167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B46134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5F397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537FEA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2E353C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line number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MDPI_7.1_References"/>
    <w:basedOn w:val="16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6">
    <w:name w:val="MDPI_6.2_Acknowledgments"/>
    <w:qFormat/>
    <w:uiPriority w:val="0"/>
    <w:pPr>
      <w:adjustRightInd w:val="0"/>
      <w:snapToGrid w:val="0"/>
      <w:spacing w:before="120" w:after="20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7">
    <w:name w:val="MDPI_header_journal_logo"/>
    <w:qFormat/>
    <w:uiPriority w:val="0"/>
    <w:pPr>
      <w:adjustRightInd w:val="0"/>
      <w:snapToGrid w:val="0"/>
      <w:spacing w:after="200" w:line="276" w:lineRule="auto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8">
    <w:name w:val="MDPI_footer_firstpage"/>
    <w:basedOn w:val="19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19">
    <w:name w:val="MDPI_footer"/>
    <w:qFormat/>
    <w:uiPriority w:val="0"/>
    <w:pPr>
      <w:adjustRightInd w:val="0"/>
      <w:snapToGrid w:val="0"/>
      <w:spacing w:before="120" w:after="200" w:line="276" w:lineRule="auto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0">
    <w:name w:val="MDPI_5.2_figure"/>
    <w:qFormat/>
    <w:uiPriority w:val="0"/>
    <w:pPr>
      <w:spacing w:after="200" w:line="276" w:lineRule="auto"/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1">
    <w:name w:val="MDPI_4.2_table_body"/>
    <w:qFormat/>
    <w:uiPriority w:val="0"/>
    <w:pPr>
      <w:adjustRightInd w:val="0"/>
      <w:snapToGrid w:val="0"/>
      <w:spacing w:after="200" w:line="276" w:lineRule="auto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2">
    <w:name w:val="M_deck_5_table_body_three_lines"/>
    <w:basedOn w:val="8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3">
    <w:name w:val="MDPI_3.9_equation"/>
    <w:basedOn w:val="24"/>
    <w:qFormat/>
    <w:uiPriority w:val="0"/>
    <w:pPr>
      <w:spacing w:before="120" w:after="120"/>
      <w:ind w:left="709" w:firstLine="0"/>
      <w:jc w:val="center"/>
    </w:pPr>
  </w:style>
  <w:style w:type="paragraph" w:customStyle="1" w:styleId="24">
    <w:name w:val="MDPI_3.1_text"/>
    <w:qFormat/>
    <w:uiPriority w:val="0"/>
    <w:pPr>
      <w:adjustRightInd w:val="0"/>
      <w:snapToGrid w:val="0"/>
      <w:spacing w:after="200"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5">
    <w:name w:val="MDPI_3.a_equation_number"/>
    <w:basedOn w:val="24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6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hart" Target="charts/chart1.xml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420736"/>
        <c:axId val="362288768"/>
      </c:barChart>
      <c:catAx>
        <c:axId val="36242073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288768"/>
        <c:crosses val="autoZero"/>
        <c:auto val="1"/>
        <c:lblAlgn val="ctr"/>
        <c:lblOffset val="100"/>
        <c:tickLblSkip val="1"/>
        <c:noMultiLvlLbl val="0"/>
      </c:catAx>
      <c:valAx>
        <c:axId val="36228876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42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1325</Words>
  <Characters>7556</Characters>
  <Lines>62</Lines>
  <Paragraphs>17</Paragraphs>
  <TotalTime>0</TotalTime>
  <ScaleCrop>false</ScaleCrop>
  <LinksUpToDate>false</LinksUpToDate>
  <CharactersWithSpaces>8864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glady</cp:lastModifiedBy>
  <dcterms:modified xsi:type="dcterms:W3CDTF">2020-10-14T06:34:59Z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